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607" w:rsidRDefault="00BA186E">
      <w:pPr>
        <w:pStyle w:val="GvdeMetni"/>
        <w:rPr>
          <w:sz w:val="72"/>
        </w:rPr>
      </w:pPr>
      <w:r>
        <w:rPr>
          <w:noProof/>
          <w:sz w:val="72"/>
          <w:lang w:eastAsia="tr-TR"/>
        </w:rPr>
        <mc:AlternateContent>
          <mc:Choice Requires="wps">
            <w:drawing>
              <wp:anchor distT="0" distB="0" distL="0" distR="0" simplePos="0" relativeHeight="487460864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723899</wp:posOffset>
                </wp:positionV>
                <wp:extent cx="6156960" cy="92233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960" cy="9223375"/>
                          <a:chOff x="0" y="0"/>
                          <a:chExt cx="6156960" cy="92233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4532630" cy="922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2630" h="9223375">
                                <a:moveTo>
                                  <a:pt x="45323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3121"/>
                                </a:lnTo>
                                <a:lnTo>
                                  <a:pt x="4532376" y="9223121"/>
                                </a:lnTo>
                                <a:lnTo>
                                  <a:pt x="4532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65903" y="0"/>
                            <a:ext cx="1591310" cy="922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1310" h="9223375">
                                <a:moveTo>
                                  <a:pt x="15910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3248"/>
                                </a:lnTo>
                                <a:lnTo>
                                  <a:pt x="1591055" y="9223248"/>
                                </a:lnTo>
                                <a:lnTo>
                                  <a:pt x="1591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5152" y="249936"/>
                            <a:ext cx="1511808" cy="16200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3.200001pt;margin-top:56.999977pt;width:484.8pt;height:726.25pt;mso-position-horizontal-relative:page;mso-position-vertical-relative:page;z-index:-15855616" id="docshapegroup1" coordorigin="864,1140" coordsize="9696,14525">
                <v:rect style="position:absolute;left:864;top:1140;width:7138;height:14525" id="docshape2" filled="true" fillcolor="#ff0000" stroked="false">
                  <v:fill type="solid"/>
                </v:rect>
                <v:rect style="position:absolute;left:8054;top:1140;width:2506;height:14525" id="docshape3" filled="true" fillcolor="#bdbdbd" stroked="false">
                  <v:fill type="solid"/>
                </v:rect>
                <v:shape style="position:absolute;left:8179;top:1533;width:2381;height:2552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p w:rsidR="00224607" w:rsidRDefault="00224607">
      <w:pPr>
        <w:pStyle w:val="GvdeMetni"/>
        <w:rPr>
          <w:sz w:val="72"/>
        </w:rPr>
      </w:pPr>
    </w:p>
    <w:p w:rsidR="00224607" w:rsidRDefault="00224607">
      <w:pPr>
        <w:pStyle w:val="GvdeMetni"/>
        <w:rPr>
          <w:sz w:val="72"/>
        </w:rPr>
      </w:pPr>
    </w:p>
    <w:p w:rsidR="00224607" w:rsidRDefault="00224607">
      <w:pPr>
        <w:pStyle w:val="GvdeMetni"/>
        <w:spacing w:before="728"/>
        <w:rPr>
          <w:sz w:val="72"/>
        </w:rPr>
      </w:pPr>
    </w:p>
    <w:p w:rsidR="00224607" w:rsidRDefault="00BA186E">
      <w:pPr>
        <w:pStyle w:val="KonuBal"/>
        <w:spacing w:line="259" w:lineRule="auto"/>
      </w:pPr>
      <w:r>
        <w:rPr>
          <w:color w:val="FFFFFF"/>
          <w:spacing w:val="-2"/>
        </w:rPr>
        <w:t>KASTAMONU ÜNİVERSİTESİ</w:t>
      </w:r>
    </w:p>
    <w:p w:rsidR="00224607" w:rsidRDefault="00224607">
      <w:pPr>
        <w:pStyle w:val="GvdeMetni"/>
        <w:rPr>
          <w:rFonts w:ascii="Calibri"/>
          <w:b/>
          <w:sz w:val="72"/>
        </w:rPr>
      </w:pPr>
    </w:p>
    <w:p w:rsidR="00224607" w:rsidRDefault="00224607">
      <w:pPr>
        <w:pStyle w:val="GvdeMetni"/>
        <w:spacing w:before="282"/>
        <w:rPr>
          <w:rFonts w:ascii="Calibri"/>
          <w:b/>
          <w:sz w:val="72"/>
        </w:rPr>
      </w:pPr>
    </w:p>
    <w:p w:rsidR="00224607" w:rsidRDefault="00DF089A">
      <w:pPr>
        <w:spacing w:before="1"/>
        <w:ind w:left="2338" w:right="2790"/>
        <w:jc w:val="center"/>
        <w:rPr>
          <w:rFonts w:ascii="Calibri" w:hAnsi="Calibri"/>
          <w:sz w:val="40"/>
        </w:rPr>
      </w:pPr>
      <w:r>
        <w:rPr>
          <w:rFonts w:ascii="Calibri" w:hAnsi="Calibri"/>
          <w:color w:val="FFFFFF"/>
          <w:sz w:val="40"/>
        </w:rPr>
        <w:t>OSMANLI TÜRKÇESİ</w:t>
      </w:r>
      <w:r w:rsidR="00BA186E">
        <w:rPr>
          <w:rFonts w:ascii="Calibri" w:hAnsi="Calibri"/>
          <w:color w:val="FFFFFF"/>
          <w:sz w:val="40"/>
        </w:rPr>
        <w:t xml:space="preserve"> UYGULAMA VE</w:t>
      </w:r>
    </w:p>
    <w:p w:rsidR="00224607" w:rsidRDefault="00BA186E">
      <w:pPr>
        <w:ind w:left="2324" w:right="2842"/>
        <w:jc w:val="center"/>
        <w:rPr>
          <w:rFonts w:ascii="Calibri" w:hAnsi="Calibri"/>
          <w:sz w:val="40"/>
        </w:rPr>
      </w:pPr>
      <w:r>
        <w:rPr>
          <w:rFonts w:ascii="Calibri" w:hAnsi="Calibri"/>
          <w:color w:val="FFFFFF"/>
          <w:sz w:val="40"/>
        </w:rPr>
        <w:t>ARAŞTIRMA</w:t>
      </w:r>
      <w:r>
        <w:rPr>
          <w:rFonts w:ascii="Calibri" w:hAnsi="Calibri"/>
          <w:color w:val="FFFFFF"/>
          <w:spacing w:val="-3"/>
          <w:sz w:val="40"/>
        </w:rPr>
        <w:t xml:space="preserve"> </w:t>
      </w:r>
      <w:r>
        <w:rPr>
          <w:rFonts w:ascii="Calibri" w:hAnsi="Calibri"/>
          <w:color w:val="FFFFFF"/>
          <w:spacing w:val="-2"/>
          <w:sz w:val="40"/>
        </w:rPr>
        <w:t>MERKEZİ</w:t>
      </w:r>
    </w:p>
    <w:p w:rsidR="00224607" w:rsidRDefault="00224607">
      <w:pPr>
        <w:pStyle w:val="GvdeMetni"/>
        <w:rPr>
          <w:rFonts w:ascii="Calibri"/>
          <w:sz w:val="40"/>
        </w:rPr>
      </w:pPr>
    </w:p>
    <w:p w:rsidR="00224607" w:rsidRDefault="00224607">
      <w:pPr>
        <w:pStyle w:val="GvdeMetni"/>
        <w:rPr>
          <w:rFonts w:ascii="Calibri"/>
          <w:sz w:val="40"/>
        </w:rPr>
      </w:pPr>
    </w:p>
    <w:p w:rsidR="00224607" w:rsidRDefault="00224607">
      <w:pPr>
        <w:pStyle w:val="GvdeMetni"/>
        <w:rPr>
          <w:rFonts w:ascii="Calibri"/>
          <w:sz w:val="40"/>
        </w:rPr>
      </w:pPr>
    </w:p>
    <w:p w:rsidR="00224607" w:rsidRDefault="00224607">
      <w:pPr>
        <w:pStyle w:val="GvdeMetni"/>
        <w:rPr>
          <w:rFonts w:ascii="Calibri"/>
          <w:sz w:val="40"/>
        </w:rPr>
      </w:pPr>
    </w:p>
    <w:p w:rsidR="00224607" w:rsidRDefault="00224607">
      <w:pPr>
        <w:pStyle w:val="GvdeMetni"/>
        <w:rPr>
          <w:rFonts w:ascii="Calibri"/>
          <w:sz w:val="40"/>
        </w:rPr>
      </w:pPr>
    </w:p>
    <w:p w:rsidR="00224607" w:rsidRDefault="00224607">
      <w:pPr>
        <w:pStyle w:val="GvdeMetni"/>
        <w:spacing w:before="227"/>
        <w:rPr>
          <w:rFonts w:ascii="Calibri"/>
          <w:sz w:val="40"/>
        </w:rPr>
      </w:pPr>
    </w:p>
    <w:p w:rsidR="00224607" w:rsidRDefault="00BA186E">
      <w:pPr>
        <w:spacing w:before="1"/>
        <w:ind w:left="2324" w:right="2776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FFFFFF"/>
          <w:sz w:val="32"/>
        </w:rPr>
        <w:t>Birim</w:t>
      </w:r>
      <w:r>
        <w:rPr>
          <w:rFonts w:ascii="Calibri" w:hAnsi="Calibri"/>
          <w:b/>
          <w:color w:val="FFFFFF"/>
          <w:spacing w:val="-20"/>
          <w:sz w:val="32"/>
        </w:rPr>
        <w:t xml:space="preserve"> </w:t>
      </w:r>
      <w:r>
        <w:rPr>
          <w:rFonts w:ascii="Calibri" w:hAnsi="Calibri"/>
          <w:b/>
          <w:color w:val="FFFFFF"/>
          <w:sz w:val="32"/>
        </w:rPr>
        <w:t>İç</w:t>
      </w:r>
      <w:r>
        <w:rPr>
          <w:rFonts w:ascii="Calibri" w:hAnsi="Calibri"/>
          <w:b/>
          <w:color w:val="FFFFFF"/>
          <w:spacing w:val="-19"/>
          <w:sz w:val="32"/>
        </w:rPr>
        <w:t xml:space="preserve"> </w:t>
      </w:r>
      <w:r>
        <w:rPr>
          <w:rFonts w:ascii="Calibri" w:hAnsi="Calibri"/>
          <w:b/>
          <w:color w:val="FFFFFF"/>
          <w:sz w:val="32"/>
        </w:rPr>
        <w:t>Değerlendirme</w:t>
      </w:r>
      <w:r>
        <w:rPr>
          <w:rFonts w:ascii="Calibri" w:hAnsi="Calibri"/>
          <w:b/>
          <w:color w:val="FFFFFF"/>
          <w:spacing w:val="-19"/>
          <w:sz w:val="32"/>
        </w:rPr>
        <w:t xml:space="preserve"> </w:t>
      </w:r>
      <w:r>
        <w:rPr>
          <w:rFonts w:ascii="Calibri" w:hAnsi="Calibri"/>
          <w:b/>
          <w:color w:val="FFFFFF"/>
          <w:sz w:val="32"/>
        </w:rPr>
        <w:t xml:space="preserve">Raporu </w:t>
      </w:r>
      <w:r>
        <w:rPr>
          <w:rFonts w:ascii="Calibri" w:hAnsi="Calibri"/>
          <w:b/>
          <w:color w:val="FFFFFF"/>
          <w:spacing w:val="-2"/>
          <w:sz w:val="32"/>
        </w:rPr>
        <w:t>(BİDR)</w:t>
      </w:r>
    </w:p>
    <w:p w:rsidR="00224607" w:rsidRDefault="00224607">
      <w:pPr>
        <w:jc w:val="center"/>
        <w:rPr>
          <w:rFonts w:ascii="Calibri" w:hAnsi="Calibri"/>
          <w:b/>
          <w:sz w:val="32"/>
        </w:rPr>
        <w:sectPr w:rsidR="00224607">
          <w:type w:val="continuous"/>
          <w:pgSz w:w="11920" w:h="16850"/>
          <w:pgMar w:top="1140" w:right="850" w:bottom="280" w:left="1133" w:header="708" w:footer="708" w:gutter="0"/>
          <w:cols w:space="708"/>
        </w:sectPr>
      </w:pPr>
    </w:p>
    <w:p w:rsidR="00DF089A" w:rsidRDefault="00DF089A" w:rsidP="00DF089A">
      <w:r>
        <w:lastRenderedPageBreak/>
        <w:t xml:space="preserve">KASTAMONU ÜNİVERSİTESİ </w:t>
      </w:r>
    </w:p>
    <w:p w:rsidR="00DF089A" w:rsidRDefault="00DF089A" w:rsidP="00DF089A"/>
    <w:p w:rsidR="00DF089A" w:rsidRDefault="00DF089A" w:rsidP="00DF089A">
      <w:r>
        <w:t xml:space="preserve">OSMANLI TÜRKÇESİ UYGULAMA </w:t>
      </w:r>
    </w:p>
    <w:p w:rsidR="00DF089A" w:rsidRDefault="00DF089A" w:rsidP="00DF089A">
      <w:r>
        <w:t>VE ARAŞTIRMA MERKEZİ</w:t>
      </w:r>
    </w:p>
    <w:p w:rsidR="00DF089A" w:rsidRDefault="00DF089A" w:rsidP="00DF089A"/>
    <w:p w:rsidR="00DF089A" w:rsidRDefault="00DF089A" w:rsidP="00DF089A">
      <w:r>
        <w:t>2024 BİRİM İÇ DEĞERLENDİRME RAPORU</w:t>
      </w:r>
    </w:p>
    <w:p w:rsidR="00DF089A" w:rsidRDefault="00DF089A" w:rsidP="00DF089A"/>
    <w:p w:rsidR="00DF089A" w:rsidRDefault="00DF089A" w:rsidP="00DF089A">
      <w:pPr>
        <w:pStyle w:val="ListeParagraf"/>
        <w:numPr>
          <w:ilvl w:val="0"/>
          <w:numId w:val="6"/>
        </w:numPr>
      </w:pPr>
      <w:r>
        <w:t xml:space="preserve">LİDERLİK, YÖNETİŞİM ve KALİTE </w:t>
      </w:r>
    </w:p>
    <w:p w:rsidR="00DF089A" w:rsidRDefault="00DF089A" w:rsidP="00DF089A"/>
    <w:p w:rsidR="00DF089A" w:rsidRDefault="00DF089A" w:rsidP="00DF089A">
      <w:r>
        <w:t xml:space="preserve">A.1. Liderlik ve Kalite </w:t>
      </w:r>
    </w:p>
    <w:p w:rsidR="00DF089A" w:rsidRDefault="00DF089A" w:rsidP="00DF089A">
      <w:r>
        <w:t xml:space="preserve">Birim, kurumsal dönüşümünü sağlayacak yönetişim modeline sahiptir. Liderlik yaklaşımları </w:t>
      </w:r>
    </w:p>
    <w:p w:rsidR="00DF089A" w:rsidRDefault="00DF089A" w:rsidP="00DF089A">
      <w:proofErr w:type="gramStart"/>
      <w:r>
        <w:t>uygulamaya</w:t>
      </w:r>
      <w:proofErr w:type="gramEnd"/>
      <w:r>
        <w:t xml:space="preserve"> alınmış ve iç kalite güvence mekanizmaları oluşturulmuştur. Birimde kalite komisyonu kurulmuş, kalite güvence kültürünü içselleştirmek için kalite biriminin eğitim faaliyetlerine katılım sağlanmaktadır.</w:t>
      </w:r>
    </w:p>
    <w:p w:rsidR="00DF089A" w:rsidRDefault="00DF089A" w:rsidP="00DF089A"/>
    <w:p w:rsidR="00DF089A" w:rsidRDefault="00DF089A" w:rsidP="00DF089A">
      <w:r>
        <w:t>A.</w:t>
      </w:r>
      <w:proofErr w:type="gramStart"/>
      <w:r>
        <w:t>1.1</w:t>
      </w:r>
      <w:proofErr w:type="gramEnd"/>
      <w:r>
        <w:t>. Yönetişim modeli ve idari yapı</w:t>
      </w:r>
    </w:p>
    <w:p w:rsidR="00DF089A" w:rsidRDefault="00DF089A" w:rsidP="00DF089A">
      <w:r>
        <w:t xml:space="preserve">Olgunluk Düzeyi=3: Birimin yönetişim modeli ve </w:t>
      </w:r>
      <w:proofErr w:type="spellStart"/>
      <w:r>
        <w:t>organizasyonel</w:t>
      </w:r>
      <w:proofErr w:type="spellEnd"/>
      <w:r>
        <w:t xml:space="preserve"> yapılanması birim ve alanların </w:t>
      </w:r>
    </w:p>
    <w:p w:rsidR="00DF089A" w:rsidRDefault="00DF089A" w:rsidP="00DF089A">
      <w:proofErr w:type="gramStart"/>
      <w:r>
        <w:t>genelini</w:t>
      </w:r>
      <w:proofErr w:type="gramEnd"/>
      <w:r>
        <w:t xml:space="preserve"> kapsayacak şekilde faaliyet göstermektedir. Merkez’in yönetişim modeli ve </w:t>
      </w:r>
      <w:proofErr w:type="spellStart"/>
      <w:r>
        <w:t>organizasyonel</w:t>
      </w:r>
      <w:proofErr w:type="spellEnd"/>
      <w:r>
        <w:t xml:space="preserve"> </w:t>
      </w:r>
    </w:p>
    <w:p w:rsidR="00DF089A" w:rsidRDefault="00DF089A" w:rsidP="00DF089A">
      <w:proofErr w:type="gramStart"/>
      <w:r>
        <w:t>yapılanması</w:t>
      </w:r>
      <w:proofErr w:type="gramEnd"/>
      <w:r>
        <w:t xml:space="preserve">, görev tanımları ve iş akış süreçleri Resmî Gazete’nin 4 Ağustos 2016 Perşembe gün ve </w:t>
      </w:r>
    </w:p>
    <w:p w:rsidR="00DF089A" w:rsidRDefault="00DF089A" w:rsidP="00DF089A">
      <w:proofErr w:type="gramStart"/>
      <w:r>
        <w:t>tarihinde</w:t>
      </w:r>
      <w:proofErr w:type="gramEnd"/>
      <w:r>
        <w:t xml:space="preserve">, 29791 Sayısında yayımlanan “Kastamonu Üniversitesi Osmanlı Türkçesi Uygulama ve </w:t>
      </w:r>
    </w:p>
    <w:p w:rsidR="00DF089A" w:rsidRDefault="00DF089A" w:rsidP="00DF089A">
      <w:r>
        <w:t xml:space="preserve">Araştırma Merkezi </w:t>
      </w:r>
      <w:proofErr w:type="spellStart"/>
      <w:r>
        <w:t>Yönetmeliği”ne</w:t>
      </w:r>
      <w:proofErr w:type="spellEnd"/>
      <w:r>
        <w:t xml:space="preserve"> göre düzenlenmiştir. Merkezin yönetim organları “Müdür, Müdür </w:t>
      </w:r>
    </w:p>
    <w:p w:rsidR="00DF089A" w:rsidRDefault="00DF089A" w:rsidP="00DF089A">
      <w:r>
        <w:t xml:space="preserve">Yardımcısı, Yönetim Kurulu ve Danışma </w:t>
      </w:r>
      <w:proofErr w:type="spellStart"/>
      <w:r>
        <w:t>Kurulu”ndan</w:t>
      </w:r>
      <w:proofErr w:type="spellEnd"/>
      <w:r>
        <w:t xml:space="preserve"> oluşmaktadır. Bunlar Merkezin internet </w:t>
      </w:r>
    </w:p>
    <w:p w:rsidR="00DF089A" w:rsidRDefault="00DF089A" w:rsidP="003023E6">
      <w:proofErr w:type="gramStart"/>
      <w:r>
        <w:t>sayfasında</w:t>
      </w:r>
      <w:proofErr w:type="gramEnd"/>
      <w:r>
        <w:t xml:space="preserve"> yayımlanmıştır (Kanıt 1, 2, 3).</w:t>
      </w:r>
      <w:r w:rsidR="003023E6">
        <w:t xml:space="preserve"> Ayrıca kısa şekliyle aşağıdaki gibidir:</w:t>
      </w:r>
    </w:p>
    <w:p w:rsidR="003023E6" w:rsidRPr="003023E6" w:rsidRDefault="003023E6" w:rsidP="003023E6">
      <w:pPr>
        <w:pStyle w:val="Gvde"/>
        <w:ind w:firstLine="720"/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Arial Unicode MS"/>
        </w:rPr>
        <w:t xml:space="preserve">            </w:t>
      </w:r>
      <w:r w:rsidRPr="003023E6"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a) Merkez Müdürü: </w:t>
      </w:r>
      <w:proofErr w:type="spellStart"/>
      <w:r w:rsidRPr="003023E6"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Rekt</w:t>
      </w:r>
      <w:proofErr w:type="spellEnd"/>
      <w:r w:rsidRPr="003023E6"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ör tarafından üç yıllık bir </w:t>
      </w:r>
      <w:proofErr w:type="spellStart"/>
      <w:r w:rsidRPr="003023E6"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sü</w:t>
      </w:r>
      <w:proofErr w:type="spellEnd"/>
      <w:r w:rsidRPr="003023E6"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re i</w:t>
      </w:r>
      <w:proofErr w:type="spellStart"/>
      <w:r w:rsidRPr="003023E6"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çin</w:t>
      </w:r>
      <w:proofErr w:type="spellEnd"/>
      <w:r w:rsidRPr="003023E6"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atanır. Süresi dolan m</w:t>
      </w:r>
      <w:r w:rsidRPr="003023E6"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ü</w:t>
      </w:r>
      <w:r w:rsidRPr="003023E6"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dür yeniden atanabilir.</w:t>
      </w:r>
    </w:p>
    <w:p w:rsidR="003023E6" w:rsidRPr="003023E6" w:rsidRDefault="003023E6" w:rsidP="003023E6">
      <w:pPr>
        <w:pStyle w:val="Gvde"/>
        <w:ind w:firstLine="720"/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023E6"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br/>
        <w:t xml:space="preserve">            b) Merkez Yönetim Kurulu: Müdürün başkanlığında, merkez müdür yardımcıları ve müdürün belirlediği birim dışından öğretim elemanlarından oluşur.</w:t>
      </w:r>
    </w:p>
    <w:p w:rsidR="003023E6" w:rsidRPr="003023E6" w:rsidRDefault="003023E6" w:rsidP="003023E6">
      <w:pPr>
        <w:pStyle w:val="Gvde"/>
        <w:ind w:firstLine="720"/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023E6"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br/>
        <w:t xml:space="preserve">           </w:t>
      </w:r>
      <w:r w:rsidRPr="003023E6"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c) Merkez Danışma Kurulu: Müdürün başkanlığında, müdür tarafından seçilen öğretim elemanlarından oluşmaktadır. Farklı üniversitelerden öğretim elemanları da görev alabi</w:t>
      </w:r>
      <w:r w:rsidRPr="003023E6"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l</w:t>
      </w:r>
      <w:r w:rsidRPr="003023E6"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mektedir.</w:t>
      </w:r>
      <w:r w:rsidRPr="003023E6"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br/>
        <w:t xml:space="preserve">           d) Gö</w:t>
      </w:r>
      <w:proofErr w:type="spellStart"/>
      <w:r w:rsidRPr="003023E6"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revler</w:t>
      </w:r>
      <w:proofErr w:type="spellEnd"/>
      <w:r w:rsidRPr="003023E6"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: Müdür, Yönetim Kurulu ve Danışma Kurulu, 2547 sayılı kanunla kendil</w:t>
      </w:r>
      <w:r w:rsidRPr="003023E6"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  <w:r w:rsidRPr="003023E6"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rine verilmiş gö</w:t>
      </w:r>
      <w:proofErr w:type="spellStart"/>
      <w:r w:rsidRPr="003023E6"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revleri</w:t>
      </w:r>
      <w:proofErr w:type="spellEnd"/>
      <w:r w:rsidRPr="003023E6">
        <w:rPr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yerine getirir.</w:t>
      </w:r>
    </w:p>
    <w:p w:rsidR="003023E6" w:rsidRDefault="003023E6" w:rsidP="00DF089A"/>
    <w:p w:rsidR="00DF089A" w:rsidRDefault="00DF089A" w:rsidP="00DF089A"/>
    <w:p w:rsidR="00DF089A" w:rsidRDefault="00DF089A" w:rsidP="00DF089A">
      <w:r>
        <w:t xml:space="preserve">Kanıtlar: </w:t>
      </w:r>
    </w:p>
    <w:p w:rsidR="00DF089A" w:rsidRDefault="00DF089A" w:rsidP="00DF089A">
      <w:r>
        <w:t>(A.</w:t>
      </w:r>
      <w:proofErr w:type="gramStart"/>
      <w:r>
        <w:t>1.1</w:t>
      </w:r>
      <w:proofErr w:type="gramEnd"/>
      <w:r>
        <w:t xml:space="preserve">.) Kanıt 1,2,3- Kastamonu Üniversitesi Osmanlı Türkçesi Uygulama ve Araştırma Merkezi </w:t>
      </w:r>
    </w:p>
    <w:p w:rsidR="00DF089A" w:rsidRDefault="00DF089A" w:rsidP="00DF089A">
      <w:r>
        <w:t>Yönetimi</w:t>
      </w:r>
    </w:p>
    <w:p w:rsidR="00DF089A" w:rsidRDefault="00DF089A" w:rsidP="00DF089A">
      <w:r>
        <w:t>(A.</w:t>
      </w:r>
      <w:proofErr w:type="gramStart"/>
      <w:r>
        <w:t>1.1</w:t>
      </w:r>
      <w:proofErr w:type="gramEnd"/>
      <w:r>
        <w:t xml:space="preserve">.) Kanıt 2- Kastamonu Üniversitesi Osmanlı Türkçesi Uygulama ve Araştırma Merkezi </w:t>
      </w:r>
    </w:p>
    <w:p w:rsidR="00DF089A" w:rsidRDefault="00DF089A" w:rsidP="00DF089A">
      <w:r>
        <w:t>Yönetmeliği</w:t>
      </w:r>
    </w:p>
    <w:p w:rsidR="00DF089A" w:rsidRDefault="00DF089A" w:rsidP="00DF089A">
      <w:r>
        <w:t>(A.</w:t>
      </w:r>
      <w:proofErr w:type="gramStart"/>
      <w:r>
        <w:t>1.1</w:t>
      </w:r>
      <w:proofErr w:type="gramEnd"/>
      <w:r>
        <w:t>.) Kanıt 3_Yönetişim_modeli_ve_organizasyon_şeması</w:t>
      </w:r>
    </w:p>
    <w:p w:rsidR="00DF089A" w:rsidRDefault="00DF089A" w:rsidP="00DF089A">
      <w:r>
        <w:t>A.</w:t>
      </w:r>
      <w:proofErr w:type="gramStart"/>
      <w:r>
        <w:t>1.4</w:t>
      </w:r>
      <w:proofErr w:type="gramEnd"/>
      <w:r>
        <w:t xml:space="preserve">. İç kalite güvencesi mekanizmaları </w:t>
      </w:r>
    </w:p>
    <w:p w:rsidR="00DF089A" w:rsidRDefault="00DF089A" w:rsidP="003023E6">
      <w:r>
        <w:t>Olgunluk Düzeyi=1: Birimin tanımlanmış bir iç kalite güvencesi sistemi bulunmamak</w:t>
      </w:r>
      <w:r w:rsidR="003023E6">
        <w:t xml:space="preserve">la birlikte; süreçleri planlama, </w:t>
      </w:r>
      <w:r w:rsidR="00D45810">
        <w:t>uygulama, kontrol ve iyileştirme döngüsüne dayalı bir otokontrolü mevcuttur. Bu iyileştirme döngüsü kalite komisyonu tarafından yapılmaktadır.</w:t>
      </w:r>
    </w:p>
    <w:p w:rsidR="00DF089A" w:rsidRDefault="00DF089A" w:rsidP="00DF089A">
      <w:r>
        <w:t>A.</w:t>
      </w:r>
      <w:proofErr w:type="gramStart"/>
      <w:r>
        <w:t>1.5</w:t>
      </w:r>
      <w:proofErr w:type="gramEnd"/>
      <w:r>
        <w:t xml:space="preserve">. Kamuoyunu bilgilendirme ve hesap verebilirlik </w:t>
      </w:r>
    </w:p>
    <w:p w:rsidR="00DF089A" w:rsidRDefault="00DF089A" w:rsidP="00DF089A"/>
    <w:p w:rsidR="00DF089A" w:rsidRDefault="00DF089A" w:rsidP="00DF089A">
      <w:r>
        <w:t xml:space="preserve">Olgunluk Düzeyi=2: Birimde şeffaflık ve hesap verebilirlik ilkeleri doğrultusunda kamuoyunu </w:t>
      </w:r>
    </w:p>
    <w:p w:rsidR="00DF089A" w:rsidRDefault="00DF089A" w:rsidP="00DF089A">
      <w:proofErr w:type="gramStart"/>
      <w:r>
        <w:t>bilgilendirmek</w:t>
      </w:r>
      <w:proofErr w:type="gramEnd"/>
      <w:r>
        <w:t xml:space="preserve"> üzere tanımlı süreçler bulunmaktadır. Kamuoyunu bilgilendirme ilkesel olarak </w:t>
      </w:r>
    </w:p>
    <w:p w:rsidR="00DF089A" w:rsidRDefault="00DF089A" w:rsidP="00DF089A">
      <w:proofErr w:type="gramStart"/>
      <w:r>
        <w:t>benimsenmiştir</w:t>
      </w:r>
      <w:proofErr w:type="gramEnd"/>
      <w:r>
        <w:t xml:space="preserve">. Birimin internet sayfası, güncel ve erişilebilirdir (Kanıt 4). </w:t>
      </w:r>
    </w:p>
    <w:p w:rsidR="00DF089A" w:rsidRDefault="00DF089A" w:rsidP="00DF089A">
      <w:r>
        <w:t>Kanıtlar: (A.</w:t>
      </w:r>
      <w:proofErr w:type="gramStart"/>
      <w:r>
        <w:t>1.5</w:t>
      </w:r>
      <w:proofErr w:type="gramEnd"/>
      <w:r>
        <w:t xml:space="preserve">.) Kanıt 4_ Kastamonu Üniversitesi Osmanlı Türkçesi Uygulama ve Araştırma Merkezi </w:t>
      </w:r>
      <w:proofErr w:type="spellStart"/>
      <w:r>
        <w:t>internet_sayfası</w:t>
      </w:r>
      <w:proofErr w:type="spellEnd"/>
    </w:p>
    <w:p w:rsidR="00DF089A" w:rsidRDefault="00DF089A" w:rsidP="00DF089A">
      <w:r>
        <w:t>Kanıtlar: (A.</w:t>
      </w:r>
      <w:proofErr w:type="gramStart"/>
      <w:r>
        <w:t>1.6</w:t>
      </w:r>
      <w:proofErr w:type="gramEnd"/>
      <w:r>
        <w:t xml:space="preserve">.) Kanıt 5- Kastamonu Üniversitesi Osmanlı Türkçesi Uygulama ve Araştırma Merkezi </w:t>
      </w:r>
    </w:p>
    <w:p w:rsidR="00DF089A" w:rsidRDefault="00DF089A" w:rsidP="00DF089A">
      <w:proofErr w:type="spellStart"/>
      <w:proofErr w:type="gramStart"/>
      <w:r>
        <w:t>internet</w:t>
      </w:r>
      <w:proofErr w:type="gramEnd"/>
      <w:r>
        <w:t>_sayfası</w:t>
      </w:r>
      <w:proofErr w:type="spellEnd"/>
    </w:p>
    <w:p w:rsidR="00DF089A" w:rsidRDefault="00DF089A" w:rsidP="00DF089A"/>
    <w:p w:rsidR="00DF089A" w:rsidRDefault="00DF089A" w:rsidP="00DF089A">
      <w:r>
        <w:lastRenderedPageBreak/>
        <w:t xml:space="preserve">A.2. Misyon ve Stratejik Amaçlar </w:t>
      </w:r>
    </w:p>
    <w:p w:rsidR="00DF089A" w:rsidRDefault="00DF089A" w:rsidP="00DF089A">
      <w:r>
        <w:t xml:space="preserve">Birim; </w:t>
      </w:r>
      <w:proofErr w:type="gramStart"/>
      <w:r>
        <w:t>vizyon</w:t>
      </w:r>
      <w:proofErr w:type="gramEnd"/>
      <w:r>
        <w:t xml:space="preserve">, misyon ve amacını gerçekleştirmek üzere oluşturduğu stratejik amaçlarını ve </w:t>
      </w:r>
    </w:p>
    <w:p w:rsidR="00DF089A" w:rsidRDefault="00DF089A" w:rsidP="00DF089A">
      <w:proofErr w:type="gramStart"/>
      <w:r>
        <w:t>hedeflerini</w:t>
      </w:r>
      <w:proofErr w:type="gramEnd"/>
      <w:r>
        <w:t xml:space="preserve"> uygulamaya başlamıştır. Performans yönetimi kapsamında sonuçlarını izleyerek </w:t>
      </w:r>
    </w:p>
    <w:p w:rsidR="00DF089A" w:rsidRDefault="00DF089A" w:rsidP="00DF089A">
      <w:proofErr w:type="gramStart"/>
      <w:r>
        <w:t>değerlendirmekte</w:t>
      </w:r>
      <w:proofErr w:type="gramEnd"/>
      <w:r>
        <w:t xml:space="preserve"> ve web sitesi aracılığıyla kamuoyuyla paylaşmaktadır.</w:t>
      </w:r>
    </w:p>
    <w:p w:rsidR="00DF089A" w:rsidRDefault="00DF089A" w:rsidP="00DF089A"/>
    <w:p w:rsidR="00DF089A" w:rsidRDefault="00DF089A" w:rsidP="00DF089A">
      <w:r>
        <w:t xml:space="preserve">A.2.1. Misyon, </w:t>
      </w:r>
      <w:proofErr w:type="gramStart"/>
      <w:r>
        <w:t>vizyon</w:t>
      </w:r>
      <w:proofErr w:type="gramEnd"/>
      <w:r>
        <w:t xml:space="preserve"> ve politikalar </w:t>
      </w:r>
    </w:p>
    <w:p w:rsidR="00DF089A" w:rsidRDefault="00DF089A" w:rsidP="00DF089A">
      <w:r>
        <w:t xml:space="preserve">Olgunluk Düzeyi=4: Misyon, </w:t>
      </w:r>
      <w:proofErr w:type="gramStart"/>
      <w:r>
        <w:t>vizyon</w:t>
      </w:r>
      <w:proofErr w:type="gramEnd"/>
      <w:r>
        <w:t xml:space="preserve"> ve politikalar doğrultusunda gerçekleştirilen uygulamalar </w:t>
      </w:r>
    </w:p>
    <w:p w:rsidR="00DF089A" w:rsidRDefault="00DF089A" w:rsidP="00DF089A">
      <w:proofErr w:type="gramStart"/>
      <w:r>
        <w:t>izlenmekte</w:t>
      </w:r>
      <w:proofErr w:type="gramEnd"/>
      <w:r>
        <w:t xml:space="preserve"> ve paydaşlarla birlikte değerlendirilerek önlemler alınmaktadır</w:t>
      </w:r>
      <w:r w:rsidR="00646273">
        <w:t>.</w:t>
      </w:r>
      <w:r>
        <w:t xml:space="preserve"> Misyon ve </w:t>
      </w:r>
      <w:proofErr w:type="gramStart"/>
      <w:r>
        <w:t>vizyon</w:t>
      </w:r>
      <w:proofErr w:type="gramEnd"/>
      <w:r>
        <w:t xml:space="preserve"> ifadesi </w:t>
      </w:r>
    </w:p>
    <w:p w:rsidR="00DF089A" w:rsidRDefault="00DF089A" w:rsidP="00DF089A">
      <w:r>
        <w:t xml:space="preserve">tanımlanmıştır, bu </w:t>
      </w:r>
      <w:proofErr w:type="gramStart"/>
      <w:r>
        <w:t>misyon</w:t>
      </w:r>
      <w:proofErr w:type="gramEnd"/>
      <w:r>
        <w:t xml:space="preserve"> ve vizyon birim üyelerince bilinir ve paylaşılır. Birime özeldir, sürdürülebilir bir gelecek yaratmak için yol göstericidir.</w:t>
      </w:r>
    </w:p>
    <w:p w:rsidR="00DF089A" w:rsidRDefault="00DF089A" w:rsidP="00DF089A"/>
    <w:p w:rsidR="00DF089A" w:rsidRDefault="00DF089A" w:rsidP="00DF089A">
      <w:r>
        <w:t>A.</w:t>
      </w:r>
      <w:proofErr w:type="gramStart"/>
      <w:r>
        <w:t>2.2</w:t>
      </w:r>
      <w:proofErr w:type="gramEnd"/>
      <w:r>
        <w:t xml:space="preserve">. Stratejik amaç ve hedefler </w:t>
      </w:r>
    </w:p>
    <w:p w:rsidR="00DF089A" w:rsidRDefault="00DF089A" w:rsidP="00DF089A">
      <w:r>
        <w:t>Olgunluk Düzeyi=2: Birimin ilan edilmiş bir stratejik planı bulunmakla birlikte Üniversitemizin stratejik planıyla doğru orantılıdır.</w:t>
      </w:r>
    </w:p>
    <w:p w:rsidR="00DF089A" w:rsidRDefault="00DF089A" w:rsidP="00DF089A"/>
    <w:p w:rsidR="00DF089A" w:rsidRDefault="00DF089A" w:rsidP="00DF089A">
      <w:r>
        <w:t>A.</w:t>
      </w:r>
      <w:proofErr w:type="gramStart"/>
      <w:r>
        <w:t>2.3</w:t>
      </w:r>
      <w:proofErr w:type="gramEnd"/>
      <w:r>
        <w:t xml:space="preserve">. Performans yönetimi </w:t>
      </w:r>
    </w:p>
    <w:p w:rsidR="00DF089A" w:rsidRDefault="00DF089A" w:rsidP="00DF089A">
      <w:r>
        <w:t xml:space="preserve">Olgunluk Düzeyi=4: Birimde performans göstergelerinin işlerliği ve performans yönetimi </w:t>
      </w:r>
    </w:p>
    <w:p w:rsidR="00DF089A" w:rsidRDefault="00DF089A" w:rsidP="00DF089A">
      <w:proofErr w:type="gramStart"/>
      <w:r>
        <w:t>mekanizmaları</w:t>
      </w:r>
      <w:proofErr w:type="gramEnd"/>
      <w:r>
        <w:t xml:space="preserve"> izlenmekte ve izlem sonuçlarına göre iyileştirmeler gerçekleştirilmektedir</w:t>
      </w:r>
      <w:r w:rsidR="00646273">
        <w:t>.</w:t>
      </w:r>
    </w:p>
    <w:p w:rsidR="00DF089A" w:rsidRDefault="00DF089A" w:rsidP="00DF089A">
      <w:r>
        <w:t xml:space="preserve">A.3. Yönetim Sistemleri </w:t>
      </w:r>
    </w:p>
    <w:p w:rsidR="00DF089A" w:rsidRDefault="00DF089A" w:rsidP="00DF089A">
      <w:r>
        <w:t>A.</w:t>
      </w:r>
      <w:proofErr w:type="gramStart"/>
      <w:r>
        <w:t>3.4</w:t>
      </w:r>
      <w:proofErr w:type="gramEnd"/>
      <w:r>
        <w:t xml:space="preserve">. Süreç yönetimi </w:t>
      </w:r>
    </w:p>
    <w:p w:rsidR="00DF089A" w:rsidRDefault="00DF089A" w:rsidP="00DF089A"/>
    <w:p w:rsidR="00DF089A" w:rsidRDefault="00DF089A" w:rsidP="00DF089A">
      <w:r>
        <w:t xml:space="preserve">Olgunluk Düzeyi=2: Birimde eğitim ve öğretim, araştırma ve geliştirme, toplumsal katkı ve yönetim </w:t>
      </w:r>
    </w:p>
    <w:p w:rsidR="00DF089A" w:rsidRDefault="00DF089A" w:rsidP="00DF089A">
      <w:proofErr w:type="gramStart"/>
      <w:r>
        <w:t>sistemi</w:t>
      </w:r>
      <w:proofErr w:type="gramEnd"/>
      <w:r>
        <w:t xml:space="preserve"> süreç ve alt süreçleri tanımlanmıştır.</w:t>
      </w:r>
    </w:p>
    <w:p w:rsidR="00DF089A" w:rsidRDefault="00DF089A" w:rsidP="00DF089A">
      <w:r>
        <w:t xml:space="preserve">A.4. Paydaş Katılımı </w:t>
      </w:r>
    </w:p>
    <w:p w:rsidR="00DF089A" w:rsidRDefault="00DF089A" w:rsidP="00DF089A">
      <w:r>
        <w:t>A.</w:t>
      </w:r>
      <w:proofErr w:type="gramStart"/>
      <w:r>
        <w:t>4.1</w:t>
      </w:r>
      <w:proofErr w:type="gramEnd"/>
      <w:r>
        <w:t xml:space="preserve">. İç ve dış paydaş katılımı </w:t>
      </w:r>
    </w:p>
    <w:p w:rsidR="00DF089A" w:rsidRDefault="00F33D42" w:rsidP="00DF089A">
      <w:r>
        <w:t>Merkez, hem iç hem de dış paydaşların düşünce ve önerileri doğrultusunda değerlendirerek iyileştirme yoluna gitmektedir.</w:t>
      </w:r>
    </w:p>
    <w:p w:rsidR="00F33D42" w:rsidRDefault="00F33D42" w:rsidP="00DF089A"/>
    <w:p w:rsidR="00DF089A" w:rsidRDefault="00DF089A" w:rsidP="003F53E7">
      <w:r>
        <w:t xml:space="preserve">Olgunluk Düzeyi=2: Birimin iç kalite </w:t>
      </w:r>
      <w:proofErr w:type="spellStart"/>
      <w:r w:rsidR="003F53E7">
        <w:t>komisyınu</w:t>
      </w:r>
      <w:proofErr w:type="spellEnd"/>
      <w:r>
        <w:t xml:space="preserve"> sistemine paydaş katılımını sağlayacak mekanizmalar bulunmaktadır. Kastamonu Üniversitesi Kalite Koordinatörlüğü internet sayfasında kamuoyu ile paylaşılan Liderlik, Yönetim ve Kalite Planında üniversitemizin iç ve dış paydaşları ilan edilmiştir. Buna</w:t>
      </w:r>
      <w:r w:rsidR="00AB5C78">
        <w:t xml:space="preserve"> </w:t>
      </w:r>
      <w:r>
        <w:t>uygun olarak belirlenen iç ve dış paydaş listeleri Merkez internet sayfasında kamuoyuna sunulmuştur.</w:t>
      </w:r>
    </w:p>
    <w:p w:rsidR="00AB5C78" w:rsidRDefault="00AB5C78" w:rsidP="00AB5C78"/>
    <w:p w:rsidR="00DF089A" w:rsidRDefault="00DF089A" w:rsidP="00DF089A">
      <w:r>
        <w:t xml:space="preserve">B. EĞİTİM ve ÖĞRETİM </w:t>
      </w:r>
    </w:p>
    <w:p w:rsidR="00DF089A" w:rsidRDefault="00DF089A" w:rsidP="00DF089A">
      <w:r>
        <w:t xml:space="preserve">B.3. Öğrenme Kaynakları ve Akademik Destek Hizmetleri </w:t>
      </w:r>
    </w:p>
    <w:p w:rsidR="00DF089A" w:rsidRDefault="00DF089A" w:rsidP="00DF089A">
      <w:r>
        <w:t>B.</w:t>
      </w:r>
      <w:proofErr w:type="gramStart"/>
      <w:r>
        <w:t>3.5</w:t>
      </w:r>
      <w:proofErr w:type="gramEnd"/>
      <w:r>
        <w:t>. Sosyal, Kültürel ve Eğitimsel Faaliyetler</w:t>
      </w:r>
    </w:p>
    <w:p w:rsidR="00DF089A" w:rsidRDefault="00DF089A" w:rsidP="00DF089A">
      <w:r>
        <w:t xml:space="preserve">Olgunluk Düzeyi=3: Birimin genelinde sosyal, kültürel ve eğitimsel faaliyetler erişilebilirdir ve </w:t>
      </w:r>
    </w:p>
    <w:p w:rsidR="00DF089A" w:rsidRDefault="00DF089A" w:rsidP="00DF089A">
      <w:proofErr w:type="gramStart"/>
      <w:r>
        <w:t>bunlardan</w:t>
      </w:r>
      <w:proofErr w:type="gramEnd"/>
      <w:r>
        <w:t xml:space="preserve"> fırsat eşitliğine dayalı olarak yararlanılmaktadır. Birimimiz kültürel faaliyetler ve eğitim </w:t>
      </w:r>
    </w:p>
    <w:p w:rsidR="00DF089A" w:rsidRDefault="00DF089A" w:rsidP="00DF089A">
      <w:proofErr w:type="gramStart"/>
      <w:r>
        <w:t>faaliyetleri</w:t>
      </w:r>
      <w:proofErr w:type="gramEnd"/>
      <w:r>
        <w:t xml:space="preserve"> için üniversitemizin mekân desteklerinden faydalanmaktadır. Planlanan kültürel ve </w:t>
      </w:r>
    </w:p>
    <w:p w:rsidR="00DF089A" w:rsidRDefault="00DF089A" w:rsidP="00DF089A">
      <w:proofErr w:type="gramStart"/>
      <w:r>
        <w:t>eğitimsel</w:t>
      </w:r>
      <w:proofErr w:type="gramEnd"/>
      <w:r>
        <w:t xml:space="preserve"> faaliyetler Üniversite geneline duyurulmaktadır.</w:t>
      </w:r>
    </w:p>
    <w:p w:rsidR="00AB5C78" w:rsidRDefault="00AB5C78" w:rsidP="00DF089A"/>
    <w:p w:rsidR="00DF089A" w:rsidRDefault="00DF089A" w:rsidP="00DF089A">
      <w:r>
        <w:t>C.ARAŞTIRMA VE GELİŞTİRME</w:t>
      </w:r>
    </w:p>
    <w:p w:rsidR="00DF089A" w:rsidRDefault="00DF089A" w:rsidP="00DF089A">
      <w:r>
        <w:t xml:space="preserve">C.1. Araştırma Süreçlerinin Yönetimi ve Araştırma Kaynakları </w:t>
      </w:r>
    </w:p>
    <w:p w:rsidR="00DF089A" w:rsidRDefault="00DF089A" w:rsidP="00DF089A">
      <w:r>
        <w:t xml:space="preserve">Birim, araştırma faaliyetlerini stratejik planı çerçevesinde belirlenen akademik öncelikleri ile yerel, </w:t>
      </w:r>
    </w:p>
    <w:p w:rsidR="00DF089A" w:rsidRDefault="00DF089A" w:rsidP="00DF089A">
      <w:proofErr w:type="gramStart"/>
      <w:r>
        <w:t>bölgesel</w:t>
      </w:r>
      <w:proofErr w:type="gramEnd"/>
      <w:r>
        <w:t xml:space="preserve"> ve ulusal kalkınma hedefleriyle uyumlu, değer üretebilen ve toplumsal faydaya </w:t>
      </w:r>
    </w:p>
    <w:p w:rsidR="00DF089A" w:rsidRDefault="00DF089A" w:rsidP="00DD2B01">
      <w:proofErr w:type="gramStart"/>
      <w:r>
        <w:t>dönüştürülebilen</w:t>
      </w:r>
      <w:proofErr w:type="gramEnd"/>
      <w:r>
        <w:t xml:space="preserve"> biçimde yönetilmektedir. Bu faaliyetler için uygun</w:t>
      </w:r>
      <w:r w:rsidR="00DD2B01">
        <w:t xml:space="preserve"> merkeze ait</w:t>
      </w:r>
      <w:r>
        <w:t xml:space="preserve"> fiziki altyapı ve mali kaynaklar henüz oluşturulama</w:t>
      </w:r>
      <w:r w:rsidR="00DD2B01">
        <w:t xml:space="preserve">dığı için, Üniversitemizin birimlerinde Osmanlı Türkçesi </w:t>
      </w:r>
      <w:proofErr w:type="gramStart"/>
      <w:r w:rsidR="00DD2B01">
        <w:t>kurslarımız  bu</w:t>
      </w:r>
      <w:proofErr w:type="gramEnd"/>
      <w:r w:rsidR="00DD2B01">
        <w:t xml:space="preserve"> birimlerin dersliklerinde devam etmektedir.</w:t>
      </w:r>
    </w:p>
    <w:p w:rsidR="00AB5C78" w:rsidRDefault="00AB5C78" w:rsidP="00DF089A"/>
    <w:p w:rsidR="00DF089A" w:rsidRDefault="00DF089A" w:rsidP="00DF089A">
      <w:r>
        <w:t>C.</w:t>
      </w:r>
      <w:proofErr w:type="gramStart"/>
      <w:r>
        <w:t>1.1</w:t>
      </w:r>
      <w:proofErr w:type="gramEnd"/>
      <w:r>
        <w:t xml:space="preserve">. Araştırma süreçlerinin yönetimi </w:t>
      </w:r>
    </w:p>
    <w:p w:rsidR="00DF089A" w:rsidRDefault="00DF089A" w:rsidP="00DF089A">
      <w:r>
        <w:t xml:space="preserve">Olgunluk Düzeyi=2: Birimin araştırma süreçlerinin yönetimi ve </w:t>
      </w:r>
      <w:proofErr w:type="spellStart"/>
      <w:r>
        <w:t>organizasyonel</w:t>
      </w:r>
      <w:proofErr w:type="spellEnd"/>
      <w:r>
        <w:t xml:space="preserve"> yapısına ilişkin </w:t>
      </w:r>
    </w:p>
    <w:p w:rsidR="00DF089A" w:rsidRDefault="00DF089A" w:rsidP="00DF089A">
      <w:proofErr w:type="gramStart"/>
      <w:r>
        <w:t>yönlendirme</w:t>
      </w:r>
      <w:proofErr w:type="gramEnd"/>
      <w:r>
        <w:t xml:space="preserve"> ve motive etme gibi hususları dikkate alan planlamaları bulunmaktadır. Merkezin </w:t>
      </w:r>
    </w:p>
    <w:p w:rsidR="00DF089A" w:rsidRDefault="00DF089A" w:rsidP="00DF089A">
      <w:proofErr w:type="gramStart"/>
      <w:r>
        <w:t>araştırma</w:t>
      </w:r>
      <w:proofErr w:type="gramEnd"/>
      <w:r>
        <w:t xml:space="preserve"> süreçlerini planlaması yönetmelik doğrultusunda yapılmaktadır.</w:t>
      </w:r>
    </w:p>
    <w:p w:rsidR="00AB5C78" w:rsidRDefault="00AB5C78" w:rsidP="00DF089A"/>
    <w:p w:rsidR="00DF089A" w:rsidRDefault="00DF089A" w:rsidP="00DF089A">
      <w:r>
        <w:lastRenderedPageBreak/>
        <w:t>C.</w:t>
      </w:r>
      <w:proofErr w:type="gramStart"/>
      <w:r>
        <w:t>1.2</w:t>
      </w:r>
      <w:proofErr w:type="gramEnd"/>
      <w:r>
        <w:t xml:space="preserve">. İç ve dış kaynaklar </w:t>
      </w:r>
    </w:p>
    <w:p w:rsidR="00DF089A" w:rsidRDefault="00DF089A" w:rsidP="00677C75">
      <w:r>
        <w:t>Olgunluk Düzeyi=1: Birim</w:t>
      </w:r>
      <w:r w:rsidR="00677C75">
        <w:t>,</w:t>
      </w:r>
      <w:r>
        <w:t xml:space="preserve"> araştırma ve geliştirme faaliyetlerini </w:t>
      </w:r>
      <w:r w:rsidR="00677C75">
        <w:t>gönüllülük esasına dayalı olarak yürütmektedir. Osmanlı Türkçesi Uygulama ve Araş</w:t>
      </w:r>
      <w:r w:rsidR="00CE17E7">
        <w:t>tırma Merkezi, kursa katılan katılımcılardan herhangi bir ücret talep etmemektedir.</w:t>
      </w:r>
    </w:p>
    <w:p w:rsidR="00AB5C78" w:rsidRDefault="00AB5C78" w:rsidP="00DF089A"/>
    <w:p w:rsidR="00DF089A" w:rsidRDefault="00DF089A" w:rsidP="00DF089A">
      <w:r>
        <w:t>C.</w:t>
      </w:r>
      <w:proofErr w:type="gramStart"/>
      <w:r>
        <w:t>3.1</w:t>
      </w:r>
      <w:proofErr w:type="gramEnd"/>
      <w:r>
        <w:t xml:space="preserve">. Araştırma performansının izlenmesi ve değerlendirilmesi </w:t>
      </w:r>
    </w:p>
    <w:p w:rsidR="00DF089A" w:rsidRDefault="00DF089A" w:rsidP="00DF089A">
      <w:r>
        <w:t xml:space="preserve">Olgunluk Düzeyi=3: Birimin genelinde araştırma performansını izlemek ve değerlendirmek üzere </w:t>
      </w:r>
    </w:p>
    <w:p w:rsidR="00AB5C78" w:rsidRDefault="00DF089A" w:rsidP="00AB5C78">
      <w:proofErr w:type="gramStart"/>
      <w:r>
        <w:t>oluşturulan</w:t>
      </w:r>
      <w:proofErr w:type="gramEnd"/>
      <w:r>
        <w:t xml:space="preserve"> mekanizmalar kullanılmaktadır.</w:t>
      </w:r>
    </w:p>
    <w:p w:rsidR="00DF089A" w:rsidRDefault="00DF089A" w:rsidP="00DF089A">
      <w:r>
        <w:t xml:space="preserve">Birim araştırma faaliyetleri yıllık raporlarla izlenir, değerlendirilir, hedeflerle karşılaştırılır ve </w:t>
      </w:r>
    </w:p>
    <w:p w:rsidR="00DF089A" w:rsidRDefault="00DF089A" w:rsidP="00DF089A">
      <w:proofErr w:type="gramStart"/>
      <w:r>
        <w:t>sapmaların</w:t>
      </w:r>
      <w:proofErr w:type="gramEnd"/>
      <w:r>
        <w:t xml:space="preserve"> nedenleri irdelenir.</w:t>
      </w:r>
    </w:p>
    <w:p w:rsidR="00AB5C78" w:rsidRDefault="00AB5C78" w:rsidP="00DF089A"/>
    <w:p w:rsidR="00DF089A" w:rsidRDefault="00DF089A" w:rsidP="00DF089A">
      <w:r>
        <w:t>D. TOPLUMSAL KATKI</w:t>
      </w:r>
    </w:p>
    <w:p w:rsidR="00DF089A" w:rsidRDefault="00DF089A" w:rsidP="00DF089A">
      <w:r>
        <w:t xml:space="preserve">D.1. Toplumsal Katkı Süreçlerinin Yönetimi ve Toplumsal Katkı Kaynakları </w:t>
      </w:r>
    </w:p>
    <w:p w:rsidR="00DF089A" w:rsidRDefault="00DF089A" w:rsidP="00DF089A">
      <w:r>
        <w:t>D.</w:t>
      </w:r>
      <w:proofErr w:type="gramStart"/>
      <w:r>
        <w:t>1.1</w:t>
      </w:r>
      <w:proofErr w:type="gramEnd"/>
      <w:r>
        <w:t xml:space="preserve">. Toplumsal katkı süreçlerinin yönetimi </w:t>
      </w:r>
    </w:p>
    <w:p w:rsidR="00DF089A" w:rsidRDefault="00DF089A" w:rsidP="00DF089A">
      <w:r>
        <w:t xml:space="preserve">Olgunluk Düzeyi=2: Birimin toplumsal katkı süreçlerinin yönetimi ve </w:t>
      </w:r>
      <w:proofErr w:type="spellStart"/>
      <w:r>
        <w:t>organizasyonel</w:t>
      </w:r>
      <w:proofErr w:type="spellEnd"/>
      <w:r>
        <w:t xml:space="preserve"> yapısına ilişkin </w:t>
      </w:r>
    </w:p>
    <w:p w:rsidR="00DF089A" w:rsidRDefault="00DF089A" w:rsidP="00DF089A">
      <w:proofErr w:type="gramStart"/>
      <w:r>
        <w:t>planlamaları</w:t>
      </w:r>
      <w:proofErr w:type="gramEnd"/>
      <w:r>
        <w:t xml:space="preserve"> bulunmaktadır. </w:t>
      </w:r>
      <w:r w:rsidR="00112921">
        <w:t xml:space="preserve">Birim ve paydaşları, açılan kursları günün ve şehrin şartlarına göre düzenlemeler yaparak faaliyetleri genelleştirme düşüncesindedir. </w:t>
      </w:r>
      <w:r>
        <w:t>Merkezin Yönetmelik doğrultusunda yıllık faaliyet planı bulunmaktadır.</w:t>
      </w:r>
    </w:p>
    <w:p w:rsidR="00AB5C78" w:rsidRDefault="00AB5C78" w:rsidP="00DF089A"/>
    <w:p w:rsidR="00DF089A" w:rsidRDefault="00DF089A" w:rsidP="00DF089A">
      <w:r>
        <w:t>D.</w:t>
      </w:r>
      <w:proofErr w:type="gramStart"/>
      <w:r>
        <w:t>1.2</w:t>
      </w:r>
      <w:proofErr w:type="gramEnd"/>
      <w:r>
        <w:t xml:space="preserve">. Kaynaklar </w:t>
      </w:r>
    </w:p>
    <w:p w:rsidR="00DF089A" w:rsidRDefault="00DF089A" w:rsidP="001248EB">
      <w:r>
        <w:t>Olgunluk Düzeyi=1: Birim</w:t>
      </w:r>
      <w:r w:rsidR="001248EB">
        <w:t>,</w:t>
      </w:r>
      <w:r>
        <w:t xml:space="preserve"> toplumsal katkı faaliyetlerini </w:t>
      </w:r>
      <w:r w:rsidR="001248EB">
        <w:t>hiçbir kaynağa bağlı kalmadan kendi döngüsünü oluşturmaktadır.</w:t>
      </w:r>
    </w:p>
    <w:p w:rsidR="00AB5C78" w:rsidRDefault="00AB5C78" w:rsidP="00DF089A"/>
    <w:p w:rsidR="00DF089A" w:rsidRDefault="00DF089A" w:rsidP="00DF089A">
      <w:r>
        <w:t>D.2. Toplumsal Katkı Performansı</w:t>
      </w:r>
    </w:p>
    <w:p w:rsidR="00DF089A" w:rsidRDefault="00DF089A" w:rsidP="00DF089A">
      <w:r>
        <w:t>D.</w:t>
      </w:r>
      <w:proofErr w:type="gramStart"/>
      <w:r>
        <w:t>2.1</w:t>
      </w:r>
      <w:proofErr w:type="gramEnd"/>
      <w:r>
        <w:t xml:space="preserve">.Toplumsal katkı performansının izlenmesi ve değerlendirilmesi </w:t>
      </w:r>
    </w:p>
    <w:p w:rsidR="00DF089A" w:rsidRDefault="00DF089A" w:rsidP="00D3696F">
      <w:pPr>
        <w:jc w:val="both"/>
      </w:pPr>
      <w:r>
        <w:t xml:space="preserve">Olgunluk Düzeyi=2: Birimde toplumsal katkı performansının izlenmesine ve değerlendirmesine </w:t>
      </w:r>
    </w:p>
    <w:p w:rsidR="00DF089A" w:rsidRDefault="00DF089A" w:rsidP="00D3696F">
      <w:pPr>
        <w:jc w:val="both"/>
      </w:pPr>
      <w:proofErr w:type="gramStart"/>
      <w:r>
        <w:t>yönelik</w:t>
      </w:r>
      <w:proofErr w:type="gramEnd"/>
      <w:r>
        <w:t xml:space="preserve"> ilke, kural ve göstergeler</w:t>
      </w:r>
      <w:r w:rsidR="001248EB">
        <w:t xml:space="preserve"> eğitim ve öğretim bazlı olduğu için ilgili komisyonlarca değerlendirilip </w:t>
      </w:r>
      <w:r w:rsidR="00D3696F">
        <w:t>hayata geçirilmektedir.</w:t>
      </w:r>
      <w:r>
        <w:t xml:space="preserve"> Birimin hedefleriyle uyumlu toplumsal katkı faaliyetleri bulunmaktadır. Merkezin toplumsal katkısı; faaliyet raporları ve planlarıyla takip edilmektedir.</w:t>
      </w:r>
    </w:p>
    <w:p w:rsidR="00AB5C78" w:rsidRDefault="00AB5C78" w:rsidP="00DF089A"/>
    <w:p w:rsidR="00DF089A" w:rsidRDefault="00DF089A" w:rsidP="00DF089A">
      <w:r>
        <w:t xml:space="preserve">SONUÇ ve DEĞERLENDİRME </w:t>
      </w:r>
    </w:p>
    <w:p w:rsidR="00AB5C78" w:rsidRDefault="00AB5C78" w:rsidP="00DF089A"/>
    <w:p w:rsidR="00DF089A" w:rsidRDefault="00DF089A" w:rsidP="00AB5C78">
      <w:pPr>
        <w:pStyle w:val="ListeParagraf"/>
        <w:numPr>
          <w:ilvl w:val="0"/>
          <w:numId w:val="7"/>
        </w:numPr>
      </w:pPr>
      <w:r>
        <w:t xml:space="preserve">LİDERLİK, YÖNETİŞİM, KALİTE </w:t>
      </w:r>
    </w:p>
    <w:p w:rsidR="00AB5C78" w:rsidRDefault="00AB5C78" w:rsidP="00AB5C78">
      <w:pPr>
        <w:pStyle w:val="ListeParagraf"/>
        <w:numPr>
          <w:ilvl w:val="0"/>
          <w:numId w:val="7"/>
        </w:numPr>
      </w:pPr>
    </w:p>
    <w:p w:rsidR="00DF089A" w:rsidRDefault="00DF089A" w:rsidP="00DF089A">
      <w:r>
        <w:t xml:space="preserve">Güçlü Yönler: </w:t>
      </w:r>
    </w:p>
    <w:p w:rsidR="00DF089A" w:rsidRDefault="00DF089A" w:rsidP="00DF089A">
      <w:r>
        <w:t xml:space="preserve">. Birimin yönetişim modeli ve </w:t>
      </w:r>
      <w:proofErr w:type="spellStart"/>
      <w:r>
        <w:t>organizasyonel</w:t>
      </w:r>
      <w:proofErr w:type="spellEnd"/>
      <w:r>
        <w:t xml:space="preserve"> yapılanması bulunmaktadır. </w:t>
      </w:r>
    </w:p>
    <w:p w:rsidR="00DF089A" w:rsidRDefault="00DF089A" w:rsidP="00DF089A">
      <w:r>
        <w:t xml:space="preserve">. Birimin tanımlanmış ve birime özgü </w:t>
      </w:r>
      <w:proofErr w:type="gramStart"/>
      <w:r>
        <w:t>misyon</w:t>
      </w:r>
      <w:proofErr w:type="gramEnd"/>
      <w:r>
        <w:t xml:space="preserve"> ve vizyonu bulunmaktadır. </w:t>
      </w:r>
    </w:p>
    <w:p w:rsidR="00DF089A" w:rsidRDefault="00DF089A" w:rsidP="00DF089A">
      <w:r>
        <w:t>. Birimin amaç, süreç, plan ve raporları internet sayfasından ilan edilmiştir.</w:t>
      </w:r>
    </w:p>
    <w:p w:rsidR="00DF089A" w:rsidRDefault="00DF089A" w:rsidP="00DF089A">
      <w:r>
        <w:t xml:space="preserve">Gelişmeye Açık Yönler: </w:t>
      </w:r>
    </w:p>
    <w:p w:rsidR="00DF089A" w:rsidRDefault="00DF089A" w:rsidP="005A5054">
      <w:r>
        <w:t xml:space="preserve">. </w:t>
      </w:r>
      <w:r w:rsidR="00895FEB">
        <w:t>Otokontrol</w:t>
      </w:r>
      <w:r w:rsidR="005A5054">
        <w:t xml:space="preserve"> çerçevesi içerisinde süreçlerin daha etkin izlenmesi gerektiği modeli uygulama süreci üzerinde </w:t>
      </w:r>
      <w:proofErr w:type="spellStart"/>
      <w:r w:rsidR="005A5054">
        <w:t>yoğunlaşılmaktadır</w:t>
      </w:r>
      <w:proofErr w:type="spellEnd"/>
      <w:r w:rsidR="005A5054">
        <w:t>.</w:t>
      </w:r>
      <w:r>
        <w:t xml:space="preserve"> </w:t>
      </w:r>
    </w:p>
    <w:p w:rsidR="00DF089A" w:rsidRDefault="00DF089A" w:rsidP="005A5054">
      <w:r>
        <w:t xml:space="preserve">. Birimin liderlik, yönetişim ve kalite süreçlerinde iç ve dış paydaş katılımı </w:t>
      </w:r>
      <w:r w:rsidR="005A5054">
        <w:t>arttırılarak</w:t>
      </w:r>
      <w:r w:rsidR="00895FEB">
        <w:t xml:space="preserve"> etkinlikten faydalanma fırsatının genişletilmesi gerektiği ifade edilmektedir.</w:t>
      </w:r>
      <w:r>
        <w:t xml:space="preserve"> </w:t>
      </w:r>
    </w:p>
    <w:p w:rsidR="00AB5C78" w:rsidRDefault="00AB5C78" w:rsidP="00DF089A"/>
    <w:p w:rsidR="00DF089A" w:rsidRDefault="00DF089A" w:rsidP="00DF089A">
      <w:r>
        <w:t xml:space="preserve">2. EĞİTİM VE ÖĞRETİM </w:t>
      </w:r>
    </w:p>
    <w:p w:rsidR="00DF089A" w:rsidRDefault="00DF089A" w:rsidP="00DF089A">
      <w:r>
        <w:t xml:space="preserve">Güçlü Yönler: </w:t>
      </w:r>
    </w:p>
    <w:p w:rsidR="00DF089A" w:rsidRDefault="00DF089A" w:rsidP="00DF089A">
      <w:r>
        <w:t xml:space="preserve">. Birimin genelinde sosyal, kültürel ve eğitsel faaliyetleri erişilebilirdir ve bunlardan fırsat eşitliğine </w:t>
      </w:r>
    </w:p>
    <w:p w:rsidR="00DF089A" w:rsidRDefault="00DF089A" w:rsidP="00DF089A">
      <w:proofErr w:type="gramStart"/>
      <w:r>
        <w:t>dayalı</w:t>
      </w:r>
      <w:proofErr w:type="gramEnd"/>
      <w:r>
        <w:t xml:space="preserve"> olarak yararlanılmaktadır. </w:t>
      </w:r>
    </w:p>
    <w:p w:rsidR="00895FEB" w:rsidRDefault="00895FEB" w:rsidP="00895FEB">
      <w:r>
        <w:t xml:space="preserve">. </w:t>
      </w:r>
      <w:r w:rsidR="00455880">
        <w:t xml:space="preserve">Paydaşlarla </w:t>
      </w:r>
      <w:r>
        <w:t>Web sayfasında yer alan “haftanın kelimesi” gibi etkinliklerin genişletilmesi yönünde fikir birliğine gidi</w:t>
      </w:r>
      <w:r w:rsidR="00455880">
        <w:t>l</w:t>
      </w:r>
      <w:r>
        <w:t>miştir ve bunun üzerinde çalışılmaktadır.</w:t>
      </w:r>
    </w:p>
    <w:p w:rsidR="00DF089A" w:rsidRDefault="00DF089A" w:rsidP="00DF089A">
      <w:r>
        <w:t xml:space="preserve">Gelişmeye Açık Yönler: </w:t>
      </w:r>
    </w:p>
    <w:p w:rsidR="00DF089A" w:rsidRDefault="00DF089A" w:rsidP="00455880">
      <w:r>
        <w:t>. Birimin sosyal, kültürel ve eğitsel faaliyetleri</w:t>
      </w:r>
      <w:r w:rsidR="00455880">
        <w:t>ni</w:t>
      </w:r>
      <w:r>
        <w:t xml:space="preserve"> çeşitlendir</w:t>
      </w:r>
      <w:r w:rsidR="00455880">
        <w:t>me yoluna gidilmektedir</w:t>
      </w:r>
      <w:r>
        <w:t>.</w:t>
      </w:r>
    </w:p>
    <w:p w:rsidR="00AB5C78" w:rsidRDefault="00AB5C78" w:rsidP="00DF089A"/>
    <w:p w:rsidR="00DF089A" w:rsidRDefault="00DF089A" w:rsidP="00AB5C78">
      <w:pPr>
        <w:pStyle w:val="ListeParagraf"/>
        <w:numPr>
          <w:ilvl w:val="0"/>
          <w:numId w:val="7"/>
        </w:numPr>
      </w:pPr>
      <w:r>
        <w:t xml:space="preserve">ARAŞTIRMA VE GELİŞTİRME </w:t>
      </w:r>
    </w:p>
    <w:p w:rsidR="00AB5C78" w:rsidRDefault="00AB5C78" w:rsidP="00AB5C78"/>
    <w:p w:rsidR="00DF089A" w:rsidRDefault="00DF089A" w:rsidP="00DF089A">
      <w:r>
        <w:lastRenderedPageBreak/>
        <w:t xml:space="preserve">Güçlü Yönler: </w:t>
      </w:r>
    </w:p>
    <w:p w:rsidR="00DF089A" w:rsidRDefault="00DF089A" w:rsidP="00DF089A">
      <w:r>
        <w:t xml:space="preserve">. Birimin faaliyetleri ilgili birimlerce takip edilmektedir. </w:t>
      </w:r>
    </w:p>
    <w:p w:rsidR="00226C4A" w:rsidRDefault="00226C4A" w:rsidP="00DF089A">
      <w:r>
        <w:t>. Kursa katılım ve kurs verme süreçleri için çağrıda bulunulup bunlara erişim imkânları sağlanmaktadır.</w:t>
      </w:r>
    </w:p>
    <w:p w:rsidR="00226C4A" w:rsidRDefault="00226C4A" w:rsidP="00DF089A">
      <w:r>
        <w:t>. Faaliyetler için Üniversitemiz gerekli desteği vermekte ve bunun için sınıf ve salon gibi kaynaklar kullanılmaktadır.</w:t>
      </w:r>
    </w:p>
    <w:p w:rsidR="00DF089A" w:rsidRDefault="00DF089A" w:rsidP="00DF089A">
      <w:r>
        <w:t xml:space="preserve">Gelişmeye Açık Yönler: </w:t>
      </w:r>
    </w:p>
    <w:p w:rsidR="00226C4A" w:rsidRDefault="00226C4A" w:rsidP="00DF089A">
      <w:r>
        <w:t>. Performans göstergeleri daha etkin kullanılabilir.</w:t>
      </w:r>
    </w:p>
    <w:p w:rsidR="00352411" w:rsidRDefault="00352411" w:rsidP="00DF089A">
      <w:r>
        <w:t>. Duruma göre iç ve dış paydaşların arttırılması yoluna gidilebilir.</w:t>
      </w:r>
    </w:p>
    <w:p w:rsidR="00352411" w:rsidRDefault="00352411" w:rsidP="00DF089A">
      <w:r>
        <w:t>. Faaliyetlerin tematik çeşitliliğine gidilebilir.</w:t>
      </w:r>
    </w:p>
    <w:p w:rsidR="00DF089A" w:rsidRDefault="00DF089A" w:rsidP="00352411">
      <w:r>
        <w:t xml:space="preserve">. Birimin araştırma ve geliştirme faaliyetlerini sürdürebilmesi için </w:t>
      </w:r>
      <w:r w:rsidR="00352411">
        <w:t>daha çok gönüllü katılımcı oluşturulması önem arz etmektedir</w:t>
      </w:r>
      <w:r>
        <w:t xml:space="preserve">. </w:t>
      </w:r>
    </w:p>
    <w:p w:rsidR="00AB5C78" w:rsidRDefault="00AB5C78" w:rsidP="00DF089A"/>
    <w:p w:rsidR="00DF089A" w:rsidRDefault="00DF089A" w:rsidP="00DF089A">
      <w:r>
        <w:t>4.TOPLUMSAL KATKI</w:t>
      </w:r>
    </w:p>
    <w:p w:rsidR="00DF089A" w:rsidRDefault="00DF089A" w:rsidP="00DF089A">
      <w:r>
        <w:t xml:space="preserve">Güçlü Yönler: </w:t>
      </w:r>
    </w:p>
    <w:p w:rsidR="00DF089A" w:rsidRDefault="00DF089A" w:rsidP="00DF089A">
      <w:r>
        <w:t xml:space="preserve">. Merkezin Yönetmelik doğrultusunda yıllık faaliyet planı bulunmaktadır. </w:t>
      </w:r>
    </w:p>
    <w:p w:rsidR="00352411" w:rsidRDefault="00352411" w:rsidP="00DF089A">
      <w:r>
        <w:t xml:space="preserve">. Okul ve kurumlara yönelik </w:t>
      </w:r>
      <w:r w:rsidR="005949CB">
        <w:t>etkinlikler planlanmakta ve yürürlüğe konulmaktadır.</w:t>
      </w:r>
    </w:p>
    <w:p w:rsidR="005949CB" w:rsidRDefault="005949CB" w:rsidP="00DF089A">
      <w:r>
        <w:t>. Toplumsal katkı süreçleri, kurumsal strateji hedefleri doğrultusunda planlanmakta ve iş birliği içinde yürütülmektedir.</w:t>
      </w:r>
    </w:p>
    <w:p w:rsidR="005949CB" w:rsidRDefault="005949CB" w:rsidP="00DF089A">
      <w:r>
        <w:t>. Öğrencilerimizin eğitim ve donanımına yönelik sosyal sorumluluk etkinlikleri başarıyla ger</w:t>
      </w:r>
      <w:r w:rsidR="007E0438">
        <w:t>çekleştirilmektedir.</w:t>
      </w:r>
    </w:p>
    <w:p w:rsidR="007E0438" w:rsidRDefault="007E0438" w:rsidP="007E0438">
      <w:r>
        <w:t>. “Haftanın Kelimesi” uygulamasıyla Arapça ve Farsça kelimelerin yoğunluklu olarak kullanıldığı Osmanlı Türkçesi bu uygulama sayesinde kursa katılanlar ve sayfayı ziyaret edenler bilgi ve becerilerini arttırma yoluna gitmektedirler.</w:t>
      </w:r>
    </w:p>
    <w:p w:rsidR="00DF089A" w:rsidRDefault="00DF089A" w:rsidP="00DF089A">
      <w:r>
        <w:t xml:space="preserve">Gelişmeye Açık Yönler: </w:t>
      </w:r>
    </w:p>
    <w:p w:rsidR="00DF089A" w:rsidRDefault="00DF089A" w:rsidP="00B21587">
      <w:r>
        <w:t xml:space="preserve">. Birimin toplumsal katkı faaliyetlerini sürdürebilmesi için </w:t>
      </w:r>
      <w:r w:rsidR="00B21587">
        <w:t>iç ve dış paydaşlar katılım ve yeterliliğinin arttırılması gerekmektedir.</w:t>
      </w:r>
    </w:p>
    <w:p w:rsidR="00B21587" w:rsidRDefault="00B21587" w:rsidP="00B21587">
      <w:r>
        <w:t>. Toplumsal katkı süreçlerinde dış paydaşların daha aktif olması ve süreçleri takip etmesi gereklidir.</w:t>
      </w:r>
    </w:p>
    <w:p w:rsidR="00045D22" w:rsidRDefault="00045D22" w:rsidP="00B21587">
      <w:r>
        <w:t>. Toplumsal katkı faaliyetlerinin daha geniş gruplara ulaşması için erişim kanallarının ve farkındalık çalışmalarının güçlendirilmesi önemlidir.</w:t>
      </w:r>
    </w:p>
    <w:p w:rsidR="00AB5C78" w:rsidRDefault="00AB5C78" w:rsidP="00AB5C78"/>
    <w:p w:rsidR="00DF089A" w:rsidRDefault="00DF089A" w:rsidP="00DF089A">
      <w:r>
        <w:t xml:space="preserve">İYİLEŞTİRMELER </w:t>
      </w:r>
    </w:p>
    <w:p w:rsidR="00DF089A" w:rsidRDefault="00045D22" w:rsidP="00045D22">
      <w:r>
        <w:t>.</w:t>
      </w:r>
      <w:r w:rsidR="00DF089A">
        <w:t xml:space="preserve">Birimde </w:t>
      </w:r>
      <w:r>
        <w:t>yönetim ve danışma kuruluna ek olarak kalite komisyonu oluşturuldu.</w:t>
      </w:r>
    </w:p>
    <w:p w:rsidR="00045D22" w:rsidRDefault="007F25AC" w:rsidP="00045D22">
      <w:r>
        <w:t>.</w:t>
      </w:r>
      <w:r w:rsidR="00045D22">
        <w:t xml:space="preserve">Öğrenci ve kursiyerlerin istekleri doğrultusunda içerik ve işleyiş olumlu yöne doğru </w:t>
      </w:r>
      <w:r>
        <w:t>götürüldü.</w:t>
      </w:r>
    </w:p>
    <w:p w:rsidR="007F25AC" w:rsidRDefault="007F25AC" w:rsidP="00045D22">
      <w:r>
        <w:t>. Kurs eğitmeni ve merkez idaresi arasında bilgi alı-verişi ve fikir jimnastiği mekanizması oluşturuldu.</w:t>
      </w:r>
      <w:bookmarkStart w:id="0" w:name="_GoBack"/>
      <w:bookmarkEnd w:id="0"/>
    </w:p>
    <w:p w:rsidR="00AB5C78" w:rsidRDefault="00AB5C78" w:rsidP="00DF089A"/>
    <w:p w:rsidR="00DF089A" w:rsidRDefault="00DF089A" w:rsidP="00DF089A">
      <w:r>
        <w:t>KANITLAR</w:t>
      </w:r>
    </w:p>
    <w:p w:rsidR="00DF089A" w:rsidRDefault="00DF089A" w:rsidP="00DF089A">
      <w:r>
        <w:t>(1, 2, 3) https://otu.kastamonu.edu.tr/index.php/tr/hakkimizda/yoenetim</w:t>
      </w:r>
    </w:p>
    <w:p w:rsidR="00DF089A" w:rsidRDefault="00DF089A" w:rsidP="00DF089A">
      <w:r>
        <w:t>(2) https://otu.kastamonu.edu.tr/images/2021/hakkimizda/OTUAM_yonetmeligi.pdf</w:t>
      </w:r>
    </w:p>
    <w:p w:rsidR="00DF089A" w:rsidRDefault="00DF089A" w:rsidP="00DF089A">
      <w:r>
        <w:t>(3) https://otu.kastamonu.edu.tr/index.php/tr/hakkimizda/yoenetim</w:t>
      </w:r>
    </w:p>
    <w:p w:rsidR="00DF089A" w:rsidRDefault="00DF089A" w:rsidP="00DF089A">
      <w:r>
        <w:t>(4) https://otu.kastamonu.edu.tr/index.php/tr/</w:t>
      </w:r>
    </w:p>
    <w:p w:rsidR="00224607" w:rsidRDefault="00DF089A" w:rsidP="00AB5C78">
      <w:r>
        <w:t>(5) https://otu.kastamonu.edu.tr/index.php/tr/component/content/article/osmanli-tuerkcesi-kursuhakkinda?catid=2&amp;Itemid=101</w:t>
      </w:r>
    </w:p>
    <w:p w:rsidR="00E26D48" w:rsidRDefault="00E26D48" w:rsidP="00AB5C78">
      <w:r>
        <w:t xml:space="preserve">(6) </w:t>
      </w:r>
      <w:r w:rsidRPr="00E26D48">
        <w:t>https://otu.kastamonu.edu.tr/index.php/tr/component/content/article/lehcediz-dil-ve-kueltuer-arastirmalari-odaginda-teknolojik-</w:t>
      </w:r>
      <w:r w:rsidR="00D30C73" w:rsidRPr="00E26D48">
        <w:t>imkânlar</w:t>
      </w:r>
      <w:r w:rsidRPr="00E26D48">
        <w:t>?catid=2&amp;Itemid=101</w:t>
      </w:r>
    </w:p>
    <w:sectPr w:rsidR="00E26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51AC"/>
    <w:multiLevelType w:val="hybridMultilevel"/>
    <w:tmpl w:val="FE4442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E6FB1"/>
    <w:multiLevelType w:val="multilevel"/>
    <w:tmpl w:val="899EE9D8"/>
    <w:lvl w:ilvl="0">
      <w:start w:val="1"/>
      <w:numFmt w:val="upperLetter"/>
      <w:lvlText w:val="%1"/>
      <w:lvlJc w:val="left"/>
      <w:pPr>
        <w:ind w:left="936" w:hanging="653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936" w:hanging="653"/>
        <w:jc w:val="left"/>
      </w:pPr>
      <w:rPr>
        <w:rFonts w:hint="default"/>
        <w:lang w:val="tr-TR" w:eastAsia="en-US" w:bidi="ar-SA"/>
      </w:rPr>
    </w:lvl>
    <w:lvl w:ilvl="2">
      <w:start w:val="4"/>
      <w:numFmt w:val="decimal"/>
      <w:lvlText w:val="%1.%2.%3."/>
      <w:lvlJc w:val="left"/>
      <w:pPr>
        <w:ind w:left="936" w:hanging="6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636" w:hanging="65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535" w:hanging="65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34" w:hanging="65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32" w:hanging="65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31" w:hanging="65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30" w:hanging="653"/>
      </w:pPr>
      <w:rPr>
        <w:rFonts w:hint="default"/>
        <w:lang w:val="tr-TR" w:eastAsia="en-US" w:bidi="ar-SA"/>
      </w:rPr>
    </w:lvl>
  </w:abstractNum>
  <w:abstractNum w:abstractNumId="2">
    <w:nsid w:val="239848BE"/>
    <w:multiLevelType w:val="hybridMultilevel"/>
    <w:tmpl w:val="EA1E48FC"/>
    <w:lvl w:ilvl="0" w:tplc="48B6C3C2">
      <w:start w:val="1"/>
      <w:numFmt w:val="decimal"/>
      <w:lvlText w:val="%1."/>
      <w:lvlJc w:val="left"/>
      <w:pPr>
        <w:ind w:left="561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tr-TR" w:eastAsia="en-US" w:bidi="ar-SA"/>
      </w:rPr>
    </w:lvl>
    <w:lvl w:ilvl="1" w:tplc="8D06C330">
      <w:numFmt w:val="bullet"/>
      <w:lvlText w:val="•"/>
      <w:lvlJc w:val="left"/>
      <w:pPr>
        <w:ind w:left="1496" w:hanging="279"/>
      </w:pPr>
      <w:rPr>
        <w:rFonts w:hint="default"/>
        <w:lang w:val="tr-TR" w:eastAsia="en-US" w:bidi="ar-SA"/>
      </w:rPr>
    </w:lvl>
    <w:lvl w:ilvl="2" w:tplc="85463224">
      <w:numFmt w:val="bullet"/>
      <w:lvlText w:val="•"/>
      <w:lvlJc w:val="left"/>
      <w:pPr>
        <w:ind w:left="2433" w:hanging="279"/>
      </w:pPr>
      <w:rPr>
        <w:rFonts w:hint="default"/>
        <w:lang w:val="tr-TR" w:eastAsia="en-US" w:bidi="ar-SA"/>
      </w:rPr>
    </w:lvl>
    <w:lvl w:ilvl="3" w:tplc="E5CC50EE">
      <w:numFmt w:val="bullet"/>
      <w:lvlText w:val="•"/>
      <w:lvlJc w:val="left"/>
      <w:pPr>
        <w:ind w:left="3370" w:hanging="279"/>
      </w:pPr>
      <w:rPr>
        <w:rFonts w:hint="default"/>
        <w:lang w:val="tr-TR" w:eastAsia="en-US" w:bidi="ar-SA"/>
      </w:rPr>
    </w:lvl>
    <w:lvl w:ilvl="4" w:tplc="0C1C08C2">
      <w:numFmt w:val="bullet"/>
      <w:lvlText w:val="•"/>
      <w:lvlJc w:val="left"/>
      <w:pPr>
        <w:ind w:left="4307" w:hanging="279"/>
      </w:pPr>
      <w:rPr>
        <w:rFonts w:hint="default"/>
        <w:lang w:val="tr-TR" w:eastAsia="en-US" w:bidi="ar-SA"/>
      </w:rPr>
    </w:lvl>
    <w:lvl w:ilvl="5" w:tplc="6742A648">
      <w:numFmt w:val="bullet"/>
      <w:lvlText w:val="•"/>
      <w:lvlJc w:val="left"/>
      <w:pPr>
        <w:ind w:left="5244" w:hanging="279"/>
      </w:pPr>
      <w:rPr>
        <w:rFonts w:hint="default"/>
        <w:lang w:val="tr-TR" w:eastAsia="en-US" w:bidi="ar-SA"/>
      </w:rPr>
    </w:lvl>
    <w:lvl w:ilvl="6" w:tplc="915AD2BE">
      <w:numFmt w:val="bullet"/>
      <w:lvlText w:val="•"/>
      <w:lvlJc w:val="left"/>
      <w:pPr>
        <w:ind w:left="6180" w:hanging="279"/>
      </w:pPr>
      <w:rPr>
        <w:rFonts w:hint="default"/>
        <w:lang w:val="tr-TR" w:eastAsia="en-US" w:bidi="ar-SA"/>
      </w:rPr>
    </w:lvl>
    <w:lvl w:ilvl="7" w:tplc="539854EC">
      <w:numFmt w:val="bullet"/>
      <w:lvlText w:val="•"/>
      <w:lvlJc w:val="left"/>
      <w:pPr>
        <w:ind w:left="7117" w:hanging="279"/>
      </w:pPr>
      <w:rPr>
        <w:rFonts w:hint="default"/>
        <w:lang w:val="tr-TR" w:eastAsia="en-US" w:bidi="ar-SA"/>
      </w:rPr>
    </w:lvl>
    <w:lvl w:ilvl="8" w:tplc="773E28EC">
      <w:numFmt w:val="bullet"/>
      <w:lvlText w:val="•"/>
      <w:lvlJc w:val="left"/>
      <w:pPr>
        <w:ind w:left="8054" w:hanging="279"/>
      </w:pPr>
      <w:rPr>
        <w:rFonts w:hint="default"/>
        <w:lang w:val="tr-TR" w:eastAsia="en-US" w:bidi="ar-SA"/>
      </w:rPr>
    </w:lvl>
  </w:abstractNum>
  <w:abstractNum w:abstractNumId="3">
    <w:nsid w:val="2A09448B"/>
    <w:multiLevelType w:val="hybridMultilevel"/>
    <w:tmpl w:val="9D2E800C"/>
    <w:lvl w:ilvl="0" w:tplc="BF7EB57E">
      <w:start w:val="1"/>
      <w:numFmt w:val="decimal"/>
      <w:lvlText w:val="(%1)"/>
      <w:lvlJc w:val="left"/>
      <w:pPr>
        <w:ind w:left="621" w:hanging="3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1385EBA">
      <w:numFmt w:val="bullet"/>
      <w:lvlText w:val="•"/>
      <w:lvlJc w:val="left"/>
      <w:pPr>
        <w:ind w:left="1550" w:hanging="339"/>
      </w:pPr>
      <w:rPr>
        <w:rFonts w:hint="default"/>
        <w:lang w:val="tr-TR" w:eastAsia="en-US" w:bidi="ar-SA"/>
      </w:rPr>
    </w:lvl>
    <w:lvl w:ilvl="2" w:tplc="820EEF96">
      <w:numFmt w:val="bullet"/>
      <w:lvlText w:val="•"/>
      <w:lvlJc w:val="left"/>
      <w:pPr>
        <w:ind w:left="2481" w:hanging="339"/>
      </w:pPr>
      <w:rPr>
        <w:rFonts w:hint="default"/>
        <w:lang w:val="tr-TR" w:eastAsia="en-US" w:bidi="ar-SA"/>
      </w:rPr>
    </w:lvl>
    <w:lvl w:ilvl="3" w:tplc="D57C7AC8">
      <w:numFmt w:val="bullet"/>
      <w:lvlText w:val="•"/>
      <w:lvlJc w:val="left"/>
      <w:pPr>
        <w:ind w:left="3412" w:hanging="339"/>
      </w:pPr>
      <w:rPr>
        <w:rFonts w:hint="default"/>
        <w:lang w:val="tr-TR" w:eastAsia="en-US" w:bidi="ar-SA"/>
      </w:rPr>
    </w:lvl>
    <w:lvl w:ilvl="4" w:tplc="CA802B2E">
      <w:numFmt w:val="bullet"/>
      <w:lvlText w:val="•"/>
      <w:lvlJc w:val="left"/>
      <w:pPr>
        <w:ind w:left="4343" w:hanging="339"/>
      </w:pPr>
      <w:rPr>
        <w:rFonts w:hint="default"/>
        <w:lang w:val="tr-TR" w:eastAsia="en-US" w:bidi="ar-SA"/>
      </w:rPr>
    </w:lvl>
    <w:lvl w:ilvl="5" w:tplc="F79A5276">
      <w:numFmt w:val="bullet"/>
      <w:lvlText w:val="•"/>
      <w:lvlJc w:val="left"/>
      <w:pPr>
        <w:ind w:left="5274" w:hanging="339"/>
      </w:pPr>
      <w:rPr>
        <w:rFonts w:hint="default"/>
        <w:lang w:val="tr-TR" w:eastAsia="en-US" w:bidi="ar-SA"/>
      </w:rPr>
    </w:lvl>
    <w:lvl w:ilvl="6" w:tplc="F020925E">
      <w:numFmt w:val="bullet"/>
      <w:lvlText w:val="•"/>
      <w:lvlJc w:val="left"/>
      <w:pPr>
        <w:ind w:left="6204" w:hanging="339"/>
      </w:pPr>
      <w:rPr>
        <w:rFonts w:hint="default"/>
        <w:lang w:val="tr-TR" w:eastAsia="en-US" w:bidi="ar-SA"/>
      </w:rPr>
    </w:lvl>
    <w:lvl w:ilvl="7" w:tplc="AD8A1A44">
      <w:numFmt w:val="bullet"/>
      <w:lvlText w:val="•"/>
      <w:lvlJc w:val="left"/>
      <w:pPr>
        <w:ind w:left="7135" w:hanging="339"/>
      </w:pPr>
      <w:rPr>
        <w:rFonts w:hint="default"/>
        <w:lang w:val="tr-TR" w:eastAsia="en-US" w:bidi="ar-SA"/>
      </w:rPr>
    </w:lvl>
    <w:lvl w:ilvl="8" w:tplc="238E53B0">
      <w:numFmt w:val="bullet"/>
      <w:lvlText w:val="•"/>
      <w:lvlJc w:val="left"/>
      <w:pPr>
        <w:ind w:left="8066" w:hanging="339"/>
      </w:pPr>
      <w:rPr>
        <w:rFonts w:hint="default"/>
        <w:lang w:val="tr-TR" w:eastAsia="en-US" w:bidi="ar-SA"/>
      </w:rPr>
    </w:lvl>
  </w:abstractNum>
  <w:abstractNum w:abstractNumId="4">
    <w:nsid w:val="2C945F0C"/>
    <w:multiLevelType w:val="multilevel"/>
    <w:tmpl w:val="AF84D302"/>
    <w:lvl w:ilvl="0">
      <w:start w:val="3"/>
      <w:numFmt w:val="upperLetter"/>
      <w:lvlText w:val="%1"/>
      <w:lvlJc w:val="left"/>
      <w:pPr>
        <w:ind w:left="936" w:hanging="653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936" w:hanging="653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936" w:hanging="6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636" w:hanging="65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535" w:hanging="65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34" w:hanging="65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32" w:hanging="65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31" w:hanging="65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130" w:hanging="653"/>
      </w:pPr>
      <w:rPr>
        <w:rFonts w:hint="default"/>
        <w:lang w:val="tr-TR" w:eastAsia="en-US" w:bidi="ar-SA"/>
      </w:rPr>
    </w:lvl>
  </w:abstractNum>
  <w:abstractNum w:abstractNumId="5">
    <w:nsid w:val="67D82228"/>
    <w:multiLevelType w:val="hybridMultilevel"/>
    <w:tmpl w:val="D9E814C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57333"/>
    <w:multiLevelType w:val="multilevel"/>
    <w:tmpl w:val="78B4FFF4"/>
    <w:lvl w:ilvl="0">
      <w:start w:val="1"/>
      <w:numFmt w:val="upperLetter"/>
      <w:lvlText w:val="%1."/>
      <w:lvlJc w:val="left"/>
      <w:pPr>
        <w:ind w:left="621" w:hanging="3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18" w:hanging="536"/>
        <w:jc w:val="left"/>
      </w:pPr>
      <w:rPr>
        <w:rFonts w:hint="default"/>
        <w:spacing w:val="-4"/>
        <w:w w:val="10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936" w:hanging="5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880" w:hanging="53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940" w:hanging="53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438" w:hanging="53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936" w:hanging="53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434" w:hanging="53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932" w:hanging="536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4607"/>
    <w:rsid w:val="00045D22"/>
    <w:rsid w:val="00112921"/>
    <w:rsid w:val="001248EB"/>
    <w:rsid w:val="00224607"/>
    <w:rsid w:val="00226C4A"/>
    <w:rsid w:val="003023E6"/>
    <w:rsid w:val="00352411"/>
    <w:rsid w:val="003F53E7"/>
    <w:rsid w:val="00455880"/>
    <w:rsid w:val="005949CB"/>
    <w:rsid w:val="005A5054"/>
    <w:rsid w:val="00646273"/>
    <w:rsid w:val="00677C75"/>
    <w:rsid w:val="007E0438"/>
    <w:rsid w:val="007F25AC"/>
    <w:rsid w:val="00895FEB"/>
    <w:rsid w:val="00AB5C78"/>
    <w:rsid w:val="00B21587"/>
    <w:rsid w:val="00BA186E"/>
    <w:rsid w:val="00CE17E7"/>
    <w:rsid w:val="00D30C73"/>
    <w:rsid w:val="00D3696F"/>
    <w:rsid w:val="00D45810"/>
    <w:rsid w:val="00DD2B01"/>
    <w:rsid w:val="00DF089A"/>
    <w:rsid w:val="00E26D48"/>
    <w:rsid w:val="00F33D42"/>
    <w:rsid w:val="00FC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560" w:hanging="277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283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2453" w:right="3397" w:hanging="60"/>
    </w:pPr>
    <w:rPr>
      <w:rFonts w:ascii="Calibri" w:eastAsia="Calibri" w:hAnsi="Calibri" w:cs="Calibri"/>
      <w:b/>
      <w:bCs/>
      <w:sz w:val="72"/>
      <w:szCs w:val="72"/>
    </w:rPr>
  </w:style>
  <w:style w:type="paragraph" w:styleId="ListeParagraf">
    <w:name w:val="List Paragraph"/>
    <w:basedOn w:val="Normal"/>
    <w:uiPriority w:val="1"/>
    <w:qFormat/>
    <w:pPr>
      <w:ind w:left="620" w:hanging="457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Gvde">
    <w:name w:val="Gövde"/>
    <w:rsid w:val="003023E6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jc w:val="both"/>
    </w:pPr>
    <w:rPr>
      <w:rFonts w:ascii="Times New Roman" w:eastAsia="Times New Roman" w:hAnsi="Times New Roman" w:cs="Times New Roman"/>
      <w:color w:val="000000"/>
      <w:sz w:val="24"/>
      <w:szCs w:val="24"/>
      <w:bdr w:val="nil"/>
      <w:lang w:val="tr-TR" w:eastAsia="tr-TR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560" w:hanging="277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283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2453" w:right="3397" w:hanging="60"/>
    </w:pPr>
    <w:rPr>
      <w:rFonts w:ascii="Calibri" w:eastAsia="Calibri" w:hAnsi="Calibri" w:cs="Calibri"/>
      <w:b/>
      <w:bCs/>
      <w:sz w:val="72"/>
      <w:szCs w:val="72"/>
    </w:rPr>
  </w:style>
  <w:style w:type="paragraph" w:styleId="ListeParagraf">
    <w:name w:val="List Paragraph"/>
    <w:basedOn w:val="Normal"/>
    <w:uiPriority w:val="1"/>
    <w:qFormat/>
    <w:pPr>
      <w:ind w:left="620" w:hanging="457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Gvde">
    <w:name w:val="Gövde"/>
    <w:rsid w:val="003023E6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jc w:val="both"/>
    </w:pPr>
    <w:rPr>
      <w:rFonts w:ascii="Times New Roman" w:eastAsia="Times New Roman" w:hAnsi="Times New Roman" w:cs="Times New Roman"/>
      <w:color w:val="000000"/>
      <w:sz w:val="24"/>
      <w:szCs w:val="24"/>
      <w:bdr w:val="nil"/>
      <w:lang w:val="tr-TR" w:eastAsia="tr-T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MUJDAT TAKICAK</dc:creator>
  <cp:lastModifiedBy>Hp</cp:lastModifiedBy>
  <cp:revision>2</cp:revision>
  <dcterms:created xsi:type="dcterms:W3CDTF">2025-04-30T10:33:00Z</dcterms:created>
  <dcterms:modified xsi:type="dcterms:W3CDTF">2025-04-30T10:33:00Z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2016</vt:lpwstr>
  </property>
</Properties>
</file>